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7998"/>
        <w:gridCol w:w="3812"/>
        <w:gridCol w:w="279"/>
        <w:gridCol w:w="3617"/>
        <w:gridCol w:w="279"/>
      </w:tblGrid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 А С П О Р Т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«Комплексное развитие сельских территорий в Новосибирской области»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81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1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 Основные положения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Куратор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Знатков Владимир Михайлович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исполнитель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Период реализации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1 "Сохранение до конца 2030 года доли сельского населения в общей численности населения Новосибирской области на уровне 20,6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2 "Достижение и сохранение к концу 2030 года соотношения среднемесячных располагаемых ресурсов сельского и городского домохозяйств в размере 72,47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3 "Повышение и сохранение к концу 2030 года доли общей площади благоустроенных жилых помещений, расположенных на сельских территориях, до 21,5 процента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Направления (подпрограммы)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1 "Создание условий для обеспечения доступным и комфортным жильем сельского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2 "Кадровое обеспечение сельских территорий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3 "Создание и развитие инфраструктуры на сельских территориях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Объемы финансового обеспечения за весь период реализации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lang w:val="ru-RU"/>
              </w:rPr>
              <w:t xml:space="preserve">1 807 474,52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национальными целями развития Российской Федерации/ государственной программой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Комфортная и безопасная среда для жизни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Устойчивая и динамичная экономика/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Комплексное развитие сельских территорий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blPrEx/>
        <w:trPr/>
        <w:tc>
          <w:tcPr>
            <w:gridSpan w:val="1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 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Документ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«Сохранение до конца 2030 года доли сельского населения в общей численности населения Новосибирской области на уровне 20,6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 в общей численности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20,63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"Стратегия устойчивого развития сельских территорий" ПРАВИТЕЛЬСТВО РОССИЙСКОЙ ФЕДЕРАЦИИ от 02.02.2015 № 151-р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населения сельских территорий и сельских агломераций в общей численности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33,08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33,07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33,07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33,07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33,07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"Стратегия устойчивого развития " ПРАВИТЕЛЬСТВО РОССИЙСКОЙ ФЕДЕРАЦИИ от 02.02.2015 № 151-р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и сохранение к концу 2030 года соотношения среднемесячных располагаемых ресурсов сельского и городского домохозяйств в размере 72,47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Соотношение среднемесячных располагаемых ресурсов сельского и городского домохозяйств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92,84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72,19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72,47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72,47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72,47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"Стратегия устойчивого развития сельских территорий" ПРАВИТЕЛЬСТВО РОССИЙСКОЙ ФЕДЕРАЦИИ от 02.02.2015 № 151-р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«Повышение и сохранение к концу 2030 года доли общей площади благоустроенных жилых помещений, расположенных на сельских территориях, до 21,5 процента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общей площади благоустроенных жилых помещений в сельских населенных пунктах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32,5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"Стратегия устойчивого развития сельских территорий" ПРАВИТЕЛЬСТВО РОССИЙСКОЙ ФЕДЕРАЦИИ от 02.02.2015 № 151-р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blPrEx/>
        <w:trPr/>
        <w:tc>
          <w:tcPr>
            <w:gridSpan w:val="1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 Прокси-показатели государственной программы в 2025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кварталам/месяцам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дек.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blPrEx/>
        <w:trPr/>
        <w:tc>
          <w:tcPr>
            <w:gridSpan w:val="16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 Помесячный план достижения показателей государственной программы в 2025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Цели/показатели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Плановые значения по 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 конец 2025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«Сохранение до конца 2030 года доли сельского населения в общей численности населения Новосибирской области на уровне 20,6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 в общей численности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населения сельских территорий и сельских агломераций в общей численности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и сохранение к концу 2030 года соотношения среднемесячных располагаемых ресурсов сельского и городского домохозяйств в размере 72,47 процентов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Соотношение среднемесячных располагаемых ресурсов сельского и городского домохозяйств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«Повышение и сохранение к концу 2030 года доли общей площади благоустроенных жилых помещений, расположенных на сельских территориях, до 21,5 процента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общей площади благоустроенных жилых помещений в сельских населенных пунктах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76"/>
        <w:gridCol w:w="6709"/>
        <w:gridCol w:w="4060"/>
        <w:gridCol w:w="4060"/>
        <w:gridCol w:w="5572"/>
      </w:tblGrid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4. Структура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Задачи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Краткое описание ожидаемых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эффектов от реализации задачи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 показателями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"Создание условий для обеспечения доступным и комфортным жильем сельского населения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"Улучшение жилищных условий граждан, проживающих на сельских территориях"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2025 - 2027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возможностей для улучшения жилищных условий семей, проживающих на сельских территориях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Реализация проекта позволит улучшить жилищные условия семей, проживающих на сельских территориях и граждан, работающих на сельских территориях.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"Создание и развитие инфраструктуры на сельских территориях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"Современный облик сельских территорий"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Повышение комфортности среды проживания граждан на сельских территориях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Реализованы общественно значимые проекты по благоустройству сельских территорий и проекты комплексного развития сельских территорий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blPrEx/>
        <w:trPr/>
        <w:tc>
          <w:tcPr>
            <w:gridSpan w:val="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 Финансовое обеспечение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государственной программы, структурного элемента/источник финансового обеспечения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Всего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142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Государственная программа "Комплексное развитие сельских территорий в Новосибирской области"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734 996,85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963 586,00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65 987,63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64 984,28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1 850 805,01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714 387,57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941 351,70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65 735,80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64 749,20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1 807 474,52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16 575,20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102 293,50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18 116,80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/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468 995,77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468 995,77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1 701,70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9 369,86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251,83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235,08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11 558,47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18 907,58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12 864,44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31 772,02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Объемы налоговых расходов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"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Улучшение жилищных условий граждан, проживающих на сельских территориях"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150 593,36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54 952,06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50 921,10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50 921,10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307 387,62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129 984,08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54 885,50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50 921,10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50 921,10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286 711,78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71 363,60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2 596,00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73 959,60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659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1 701,70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val="ru-RU"/>
              </w:rPr>
              <w:t xml:space="preserve">66,56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68,26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18 907,58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18 907,58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мплекс процессных мероприятий "Подготовка квалифицированных кадров"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21 250,25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16 575,20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16 575,20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"Современный облик сельских территорий"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584 403,49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908 633,94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15 066,53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14 063,18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1 522 167,14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584 403,49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886 466,20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14 814,70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13 828,10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1 499 512,49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30 929,90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15 520,80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46 450,70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468 995,77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468 995,77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sz w:val="18"/>
                <w:szCs w:val="18"/>
                <w:highlight w:val="white"/>
                <w:lang w:val="ru-RU"/>
              </w:rPr>
              <w:t xml:space="preserve">9 303,30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251,83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235,08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9 790,21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  <w:lang w:val="ru-RU"/>
              </w:rPr>
              <w:t xml:space="preserve">12 864,44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12 864,44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0,00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669"/>
        <w:gridCol w:w="3038"/>
        <w:gridCol w:w="3038"/>
      </w:tblGrid>
      <w:tr>
        <w:tblPrEx/>
        <w:trPr/>
        <w:tc>
          <w:tcPr>
            <w:gridSpan w:val="3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Всего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300"/>
        <w:gridCol w:w="2703"/>
        <w:gridCol w:w="2703"/>
        <w:gridCol w:w="2703"/>
      </w:tblGrid>
      <w:tr>
        <w:tblPrEx/>
        <w:trPr/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6. Показатели государственной программы в разрезе муниципальных образований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муниципального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Значения показателей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  <w:r/>
    </w:p>
    <w:p>
      <w:r/>
      <w:r/>
    </w:p>
    <w:p>
      <w:r/>
      <w:r/>
    </w:p>
    <w:p>
      <w:r/>
      <w:r/>
    </w:p>
    <w:p>
      <w:pPr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 New Roman" w:cs="Times New Roman"/>
          <w:color w:val="000000"/>
          <w:sz w:val="24"/>
          <w:szCs w:val="24"/>
        </w:rPr>
        <w:t xml:space="preserve">Заместитель Председателя Правительства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Новосибирской области - министр сельского</w:t>
      </w:r>
      <w:r>
        <w:rPr>
          <w:rFonts w:eastAsia="Times New Roman" w:cs="Times New Roman"/>
          <w:color w:val="000000"/>
          <w:sz w:val="24"/>
          <w:szCs w:val="24"/>
        </w:rPr>
      </w:r>
      <w:r>
        <w:rPr>
          <w:rFonts w:eastAsia="Times New Roman" w:cs="Times New Roman"/>
          <w:color w:val="000000"/>
          <w:sz w:val="24"/>
          <w:szCs w:val="24"/>
        </w:rPr>
      </w:r>
    </w:p>
    <w:p>
      <w:r>
        <w:rPr>
          <w:rFonts w:eastAsia="Times New Roman" w:cs="Times New Roman"/>
          <w:color w:val="000000"/>
          <w:sz w:val="24"/>
          <w:szCs w:val="24"/>
        </w:rPr>
        <w:t xml:space="preserve">хозяйства Новосибирской области 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А.В. Шинделов</w:t>
      </w:r>
      <w:r/>
    </w:p>
    <w:p>
      <w:r/>
      <w:r/>
    </w:p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uiPriority w:val="39"/>
    <w:unhideWhenUsed/>
    <w:pPr>
      <w:ind w:left="0" w:right="0" w:firstLine="0"/>
      <w:spacing w:after="57"/>
    </w:pPr>
  </w:style>
  <w:style w:type="paragraph" w:styleId="822">
    <w:name w:val="toc 2"/>
    <w:uiPriority w:val="39"/>
    <w:unhideWhenUsed/>
    <w:pPr>
      <w:ind w:left="283" w:right="0" w:firstLine="0"/>
      <w:spacing w:after="57"/>
    </w:pPr>
  </w:style>
  <w:style w:type="paragraph" w:styleId="823">
    <w:name w:val="toc 3"/>
    <w:uiPriority w:val="39"/>
    <w:unhideWhenUsed/>
    <w:pPr>
      <w:ind w:left="567" w:right="0" w:firstLine="0"/>
      <w:spacing w:after="57"/>
    </w:pPr>
  </w:style>
  <w:style w:type="paragraph" w:styleId="824">
    <w:name w:val="toc 4"/>
    <w:uiPriority w:val="39"/>
    <w:unhideWhenUsed/>
    <w:pPr>
      <w:ind w:left="850" w:right="0" w:firstLine="0"/>
      <w:spacing w:after="57"/>
    </w:pPr>
  </w:style>
  <w:style w:type="paragraph" w:styleId="825">
    <w:name w:val="toc 5"/>
    <w:uiPriority w:val="39"/>
    <w:unhideWhenUsed/>
    <w:pPr>
      <w:ind w:left="1134" w:right="0" w:firstLine="0"/>
      <w:spacing w:after="57"/>
    </w:pPr>
  </w:style>
  <w:style w:type="paragraph" w:styleId="826">
    <w:name w:val="toc 6"/>
    <w:uiPriority w:val="39"/>
    <w:unhideWhenUsed/>
    <w:pPr>
      <w:ind w:left="1417" w:right="0" w:firstLine="0"/>
      <w:spacing w:after="57"/>
    </w:pPr>
  </w:style>
  <w:style w:type="paragraph" w:styleId="827">
    <w:name w:val="toc 7"/>
    <w:uiPriority w:val="39"/>
    <w:unhideWhenUsed/>
    <w:pPr>
      <w:ind w:left="1701" w:right="0" w:firstLine="0"/>
      <w:spacing w:after="57"/>
    </w:pPr>
  </w:style>
  <w:style w:type="paragraph" w:styleId="828">
    <w:name w:val="toc 8"/>
    <w:uiPriority w:val="39"/>
    <w:unhideWhenUsed/>
    <w:pPr>
      <w:ind w:left="1984" w:right="0" w:firstLine="0"/>
      <w:spacing w:after="57"/>
    </w:pPr>
  </w:style>
  <w:style w:type="paragraph" w:styleId="829">
    <w:name w:val="toc 9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uiPriority w:val="99"/>
    <w:unhideWhenUsed/>
    <w:pPr>
      <w:spacing w:after="0" w:afterAutospacing="0"/>
    </w:pPr>
  </w:style>
  <w:style w:type="paragraph" w:styleId="832">
    <w:name w:val="Версия сервера генератора печатных документов: 14.69 Версия клиента генератора печатных документов: 14.0.32 Текущий пользователь: 54_Timoshenko.E.V_49b723e3cedb42628fea922923ad60d2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833" w:default="1">
    <w:name w:val="Default Paragraph Font"/>
    <w:uiPriority w:val="1"/>
    <w:semiHidden/>
    <w:unhideWhenUsed/>
  </w:style>
  <w:style w:type="numbering" w:styleId="834" w:default="1">
    <w:name w:val="No List"/>
    <w:uiPriority w:val="99"/>
    <w:semiHidden/>
    <w:unhideWhenUsed/>
  </w:style>
  <w:style w:type="paragraph" w:styleId="835" w:default="1">
    <w:name w:val="Normal"/>
    <w:qFormat/>
  </w:style>
  <w:style w:type="table" w:styleId="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5</cp:revision>
  <dcterms:created xsi:type="dcterms:W3CDTF">2025-10-17T09:23:56Z</dcterms:created>
  <dcterms:modified xsi:type="dcterms:W3CDTF">2025-10-17T13:37:42Z</dcterms:modified>
</cp:coreProperties>
</file>